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F5408" w14:textId="77777777" w:rsidR="00481E7A" w:rsidRPr="00E36F93" w:rsidRDefault="00E36F93" w:rsidP="00E36F93">
      <w:pPr>
        <w:spacing w:after="0"/>
        <w:rPr>
          <w:rFonts w:asciiTheme="minorBidi" w:hAnsiTheme="minorBidi"/>
          <w:szCs w:val="24"/>
        </w:rPr>
      </w:pPr>
      <w:r w:rsidRPr="00E36F93">
        <w:rPr>
          <w:rFonts w:asciiTheme="minorBidi" w:hAnsiTheme="minorBidi"/>
          <w:noProof/>
          <w:szCs w:val="24"/>
        </w:rPr>
        <w:drawing>
          <wp:inline distT="0" distB="0" distL="0" distR="0" wp14:anchorId="207DC64F" wp14:editId="142D7B2D">
            <wp:extent cx="5552155" cy="2664000"/>
            <wp:effectExtent l="0" t="0" r="0" b="0"/>
            <wp:docPr id="4" name="Grafik 3">
              <a:extLst xmlns:a="http://schemas.openxmlformats.org/drawingml/2006/main">
                <a:ext uri="{FF2B5EF4-FFF2-40B4-BE49-F238E27FC236}">
                  <a16:creationId xmlns:a16="http://schemas.microsoft.com/office/drawing/2014/main" id="{C9F1F491-E0D3-410A-9E4A-6B910F07F7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C9F1F491-E0D3-410A-9E4A-6B910F07F7DB}"/>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5552155" cy="2664000"/>
                    </a:xfrm>
                    <a:prstGeom prst="rect">
                      <a:avLst/>
                    </a:prstGeom>
                  </pic:spPr>
                </pic:pic>
              </a:graphicData>
            </a:graphic>
          </wp:inline>
        </w:drawing>
      </w:r>
    </w:p>
    <w:p w14:paraId="04079C5D" w14:textId="77777777" w:rsidR="00E36F93" w:rsidRPr="00E36F93" w:rsidRDefault="00E36F93" w:rsidP="00E36F93">
      <w:pPr>
        <w:spacing w:after="0"/>
        <w:rPr>
          <w:rFonts w:asciiTheme="minorBidi" w:hAnsiTheme="minorBidi"/>
          <w:szCs w:val="24"/>
        </w:rPr>
      </w:pPr>
    </w:p>
    <w:p w14:paraId="33064D04" w14:textId="73A1E55B" w:rsidR="00E36F93" w:rsidRPr="00E36F93" w:rsidRDefault="00E36F93" w:rsidP="00E36F93">
      <w:pPr>
        <w:spacing w:after="0"/>
        <w:jc w:val="center"/>
        <w:rPr>
          <w:rFonts w:asciiTheme="minorBidi" w:hAnsiTheme="minorBidi"/>
          <w:sz w:val="32"/>
          <w:szCs w:val="32"/>
        </w:rPr>
      </w:pPr>
      <w:r w:rsidRPr="00E36F93">
        <w:rPr>
          <w:rFonts w:asciiTheme="minorBidi" w:hAnsiTheme="minorBidi"/>
          <w:sz w:val="32"/>
          <w:szCs w:val="32"/>
        </w:rPr>
        <w:t xml:space="preserve">Ethische Fragestellungen in der </w:t>
      </w:r>
      <w:r w:rsidR="00CD4D0C">
        <w:rPr>
          <w:rFonts w:asciiTheme="minorBidi" w:hAnsiTheme="minorBidi"/>
          <w:sz w:val="32"/>
          <w:szCs w:val="32"/>
        </w:rPr>
        <w:br/>
      </w:r>
      <w:r w:rsidRPr="00E36F93">
        <w:rPr>
          <w:rFonts w:asciiTheme="minorBidi" w:hAnsiTheme="minorBidi"/>
          <w:sz w:val="32"/>
          <w:szCs w:val="32"/>
        </w:rPr>
        <w:t>sensorischen Produktforschung</w:t>
      </w:r>
    </w:p>
    <w:p w14:paraId="13C552E5" w14:textId="77777777" w:rsidR="00E36F93" w:rsidRDefault="00E36F93" w:rsidP="00E36F93">
      <w:pPr>
        <w:spacing w:after="0"/>
        <w:rPr>
          <w:rFonts w:asciiTheme="minorBidi" w:hAnsiTheme="minorBidi"/>
          <w:szCs w:val="24"/>
        </w:rPr>
      </w:pPr>
    </w:p>
    <w:p w14:paraId="1409D6C3" w14:textId="77777777" w:rsidR="00E36F93" w:rsidRDefault="00E36F93" w:rsidP="00E36F93">
      <w:pPr>
        <w:spacing w:after="0"/>
        <w:rPr>
          <w:rFonts w:asciiTheme="minorBidi" w:hAnsiTheme="minorBidi"/>
          <w:szCs w:val="24"/>
        </w:rPr>
      </w:pPr>
    </w:p>
    <w:p w14:paraId="5880B9D3" w14:textId="77777777" w:rsidR="00E36F93" w:rsidRDefault="00E36F93" w:rsidP="00E36F93">
      <w:pPr>
        <w:spacing w:after="0"/>
        <w:rPr>
          <w:rFonts w:asciiTheme="minorBidi" w:hAnsiTheme="minorBidi"/>
          <w:szCs w:val="24"/>
        </w:rPr>
      </w:pPr>
    </w:p>
    <w:p w14:paraId="5D65BC53" w14:textId="77777777" w:rsidR="00E36F93" w:rsidRDefault="00E36F93" w:rsidP="00E36F93">
      <w:pPr>
        <w:spacing w:after="0"/>
        <w:rPr>
          <w:rFonts w:asciiTheme="minorBidi" w:hAnsiTheme="minorBidi"/>
          <w:szCs w:val="24"/>
        </w:rPr>
      </w:pPr>
      <w:r>
        <w:rPr>
          <w:rFonts w:asciiTheme="minorBidi" w:hAnsiTheme="minorBidi"/>
          <w:szCs w:val="24"/>
        </w:rPr>
        <w:t>Diese Information soll einer ersten Orientierung dienen für den Fall, dass im Rahmen der sensorischen Produktforschung ethische Fragestellungen aufkommen.</w:t>
      </w:r>
    </w:p>
    <w:p w14:paraId="22F6B2D7" w14:textId="77777777" w:rsidR="00E36F93" w:rsidRDefault="00E36F93" w:rsidP="00E36F93">
      <w:pPr>
        <w:spacing w:after="0"/>
        <w:rPr>
          <w:rFonts w:asciiTheme="minorBidi" w:hAnsiTheme="minorBidi"/>
          <w:szCs w:val="24"/>
        </w:rPr>
      </w:pPr>
    </w:p>
    <w:p w14:paraId="6D37B127" w14:textId="77777777" w:rsidR="00E36F93" w:rsidRDefault="00E36F93" w:rsidP="00E36F93">
      <w:pPr>
        <w:spacing w:after="0"/>
        <w:rPr>
          <w:rFonts w:asciiTheme="minorBidi" w:hAnsiTheme="minorBidi"/>
          <w:szCs w:val="24"/>
        </w:rPr>
      </w:pPr>
    </w:p>
    <w:sdt>
      <w:sdtPr>
        <w:rPr>
          <w:rFonts w:ascii="Arial" w:eastAsiaTheme="minorHAnsi" w:hAnsi="Arial" w:cstheme="minorBidi"/>
          <w:color w:val="auto"/>
          <w:sz w:val="24"/>
          <w:szCs w:val="22"/>
          <w:lang w:eastAsia="en-US"/>
        </w:rPr>
        <w:id w:val="1725792540"/>
        <w:docPartObj>
          <w:docPartGallery w:val="Table of Contents"/>
          <w:docPartUnique/>
        </w:docPartObj>
      </w:sdtPr>
      <w:sdtEndPr>
        <w:rPr>
          <w:b/>
          <w:bCs/>
        </w:rPr>
      </w:sdtEndPr>
      <w:sdtContent>
        <w:p w14:paraId="0C941736" w14:textId="77777777" w:rsidR="000833F8" w:rsidRPr="005905C2" w:rsidRDefault="000833F8">
          <w:pPr>
            <w:pStyle w:val="Inhaltsverzeichnisberschrift"/>
            <w:rPr>
              <w:color w:val="FF0000"/>
            </w:rPr>
          </w:pPr>
          <w:r w:rsidRPr="005905C2">
            <w:rPr>
              <w:color w:val="FF0000"/>
            </w:rPr>
            <w:t>Inhalt</w:t>
          </w:r>
        </w:p>
        <w:p w14:paraId="2AC35AA7" w14:textId="5100592D" w:rsidR="00E5758B" w:rsidRDefault="000833F8">
          <w:pPr>
            <w:pStyle w:val="Verzeichnis1"/>
            <w:tabs>
              <w:tab w:val="right" w:leader="dot" w:pos="9060"/>
            </w:tabs>
            <w:rPr>
              <w:rFonts w:asciiTheme="minorHAnsi" w:eastAsiaTheme="minorEastAsia" w:hAnsiTheme="minorHAnsi"/>
              <w:noProof/>
              <w:kern w:val="2"/>
              <w:sz w:val="22"/>
              <w:lang w:eastAsia="de-DE"/>
              <w14:ligatures w14:val="standardContextual"/>
            </w:rPr>
          </w:pPr>
          <w:r>
            <w:fldChar w:fldCharType="begin"/>
          </w:r>
          <w:r>
            <w:instrText xml:space="preserve"> TOC \o "1-3" \h \z \u </w:instrText>
          </w:r>
          <w:r>
            <w:fldChar w:fldCharType="separate"/>
          </w:r>
          <w:hyperlink w:anchor="_Toc180672772" w:history="1">
            <w:r w:rsidR="00E5758B" w:rsidRPr="00EB601D">
              <w:rPr>
                <w:rStyle w:val="Hyperlink"/>
                <w:noProof/>
              </w:rPr>
              <w:t>Was sind typische ethische Fragestellungen?</w:t>
            </w:r>
            <w:r w:rsidR="00E5758B">
              <w:rPr>
                <w:noProof/>
                <w:webHidden/>
              </w:rPr>
              <w:tab/>
            </w:r>
            <w:r w:rsidR="00E5758B">
              <w:rPr>
                <w:noProof/>
                <w:webHidden/>
              </w:rPr>
              <w:fldChar w:fldCharType="begin"/>
            </w:r>
            <w:r w:rsidR="00E5758B">
              <w:rPr>
                <w:noProof/>
                <w:webHidden/>
              </w:rPr>
              <w:instrText xml:space="preserve"> PAGEREF _Toc180672772 \h </w:instrText>
            </w:r>
            <w:r w:rsidR="00E5758B">
              <w:rPr>
                <w:noProof/>
                <w:webHidden/>
              </w:rPr>
            </w:r>
            <w:r w:rsidR="00E5758B">
              <w:rPr>
                <w:noProof/>
                <w:webHidden/>
              </w:rPr>
              <w:fldChar w:fldCharType="separate"/>
            </w:r>
            <w:r w:rsidR="000B1EE8">
              <w:rPr>
                <w:noProof/>
                <w:webHidden/>
              </w:rPr>
              <w:t>2</w:t>
            </w:r>
            <w:r w:rsidR="00E5758B">
              <w:rPr>
                <w:noProof/>
                <w:webHidden/>
              </w:rPr>
              <w:fldChar w:fldCharType="end"/>
            </w:r>
          </w:hyperlink>
        </w:p>
        <w:p w14:paraId="23798D57" w14:textId="1C69945A" w:rsidR="00E5758B" w:rsidRDefault="00E5758B">
          <w:pPr>
            <w:pStyle w:val="Verzeichnis1"/>
            <w:tabs>
              <w:tab w:val="right" w:leader="dot" w:pos="9060"/>
            </w:tabs>
            <w:rPr>
              <w:rFonts w:asciiTheme="minorHAnsi" w:eastAsiaTheme="minorEastAsia" w:hAnsiTheme="minorHAnsi"/>
              <w:noProof/>
              <w:kern w:val="2"/>
              <w:sz w:val="22"/>
              <w:lang w:eastAsia="de-DE"/>
              <w14:ligatures w14:val="standardContextual"/>
            </w:rPr>
          </w:pPr>
          <w:hyperlink w:anchor="_Toc180672773" w:history="1">
            <w:r w:rsidRPr="00EB601D">
              <w:rPr>
                <w:rStyle w:val="Hyperlink"/>
                <w:noProof/>
              </w:rPr>
              <w:t>Wie läuft eine ethische Begutachtung ab?</w:t>
            </w:r>
            <w:r>
              <w:rPr>
                <w:noProof/>
                <w:webHidden/>
              </w:rPr>
              <w:tab/>
            </w:r>
            <w:r>
              <w:rPr>
                <w:noProof/>
                <w:webHidden/>
              </w:rPr>
              <w:fldChar w:fldCharType="begin"/>
            </w:r>
            <w:r>
              <w:rPr>
                <w:noProof/>
                <w:webHidden/>
              </w:rPr>
              <w:instrText xml:space="preserve"> PAGEREF _Toc180672773 \h </w:instrText>
            </w:r>
            <w:r>
              <w:rPr>
                <w:noProof/>
                <w:webHidden/>
              </w:rPr>
            </w:r>
            <w:r>
              <w:rPr>
                <w:noProof/>
                <w:webHidden/>
              </w:rPr>
              <w:fldChar w:fldCharType="separate"/>
            </w:r>
            <w:r w:rsidR="000B1EE8">
              <w:rPr>
                <w:noProof/>
                <w:webHidden/>
              </w:rPr>
              <w:t>2</w:t>
            </w:r>
            <w:r>
              <w:rPr>
                <w:noProof/>
                <w:webHidden/>
              </w:rPr>
              <w:fldChar w:fldCharType="end"/>
            </w:r>
          </w:hyperlink>
        </w:p>
        <w:p w14:paraId="092FFFD3" w14:textId="06FF29B5" w:rsidR="00E5758B" w:rsidRDefault="00E5758B">
          <w:pPr>
            <w:pStyle w:val="Verzeichnis1"/>
            <w:tabs>
              <w:tab w:val="right" w:leader="dot" w:pos="9060"/>
            </w:tabs>
            <w:rPr>
              <w:rFonts w:asciiTheme="minorHAnsi" w:eastAsiaTheme="minorEastAsia" w:hAnsiTheme="minorHAnsi"/>
              <w:noProof/>
              <w:kern w:val="2"/>
              <w:sz w:val="22"/>
              <w:lang w:eastAsia="de-DE"/>
              <w14:ligatures w14:val="standardContextual"/>
            </w:rPr>
          </w:pPr>
          <w:hyperlink w:anchor="_Toc180672774" w:history="1">
            <w:r w:rsidRPr="00EB601D">
              <w:rPr>
                <w:rStyle w:val="Hyperlink"/>
                <w:noProof/>
              </w:rPr>
              <w:t>Wo erhält man Hilfestellung von Dritten?</w:t>
            </w:r>
            <w:r>
              <w:rPr>
                <w:noProof/>
                <w:webHidden/>
              </w:rPr>
              <w:tab/>
            </w:r>
            <w:r>
              <w:rPr>
                <w:noProof/>
                <w:webHidden/>
              </w:rPr>
              <w:fldChar w:fldCharType="begin"/>
            </w:r>
            <w:r>
              <w:rPr>
                <w:noProof/>
                <w:webHidden/>
              </w:rPr>
              <w:instrText xml:space="preserve"> PAGEREF _Toc180672774 \h </w:instrText>
            </w:r>
            <w:r>
              <w:rPr>
                <w:noProof/>
                <w:webHidden/>
              </w:rPr>
            </w:r>
            <w:r>
              <w:rPr>
                <w:noProof/>
                <w:webHidden/>
              </w:rPr>
              <w:fldChar w:fldCharType="separate"/>
            </w:r>
            <w:r w:rsidR="000B1EE8">
              <w:rPr>
                <w:noProof/>
                <w:webHidden/>
              </w:rPr>
              <w:t>3</w:t>
            </w:r>
            <w:r>
              <w:rPr>
                <w:noProof/>
                <w:webHidden/>
              </w:rPr>
              <w:fldChar w:fldCharType="end"/>
            </w:r>
          </w:hyperlink>
        </w:p>
        <w:p w14:paraId="1176047E" w14:textId="593378D4" w:rsidR="00E5758B" w:rsidRDefault="00E5758B">
          <w:pPr>
            <w:pStyle w:val="Verzeichnis1"/>
            <w:tabs>
              <w:tab w:val="right" w:leader="dot" w:pos="9060"/>
            </w:tabs>
            <w:rPr>
              <w:rFonts w:asciiTheme="minorHAnsi" w:eastAsiaTheme="minorEastAsia" w:hAnsiTheme="minorHAnsi"/>
              <w:noProof/>
              <w:kern w:val="2"/>
              <w:sz w:val="22"/>
              <w:lang w:eastAsia="de-DE"/>
              <w14:ligatures w14:val="standardContextual"/>
            </w:rPr>
          </w:pPr>
          <w:hyperlink w:anchor="_Toc180672775" w:history="1">
            <w:r w:rsidRPr="00EB601D">
              <w:rPr>
                <w:rStyle w:val="Hyperlink"/>
                <w:noProof/>
              </w:rPr>
              <w:t>Wo kann man sich eigenständig informieren?</w:t>
            </w:r>
            <w:r>
              <w:rPr>
                <w:noProof/>
                <w:webHidden/>
              </w:rPr>
              <w:tab/>
            </w:r>
            <w:r>
              <w:rPr>
                <w:noProof/>
                <w:webHidden/>
              </w:rPr>
              <w:fldChar w:fldCharType="begin"/>
            </w:r>
            <w:r>
              <w:rPr>
                <w:noProof/>
                <w:webHidden/>
              </w:rPr>
              <w:instrText xml:space="preserve"> PAGEREF _Toc180672775 \h </w:instrText>
            </w:r>
            <w:r>
              <w:rPr>
                <w:noProof/>
                <w:webHidden/>
              </w:rPr>
            </w:r>
            <w:r>
              <w:rPr>
                <w:noProof/>
                <w:webHidden/>
              </w:rPr>
              <w:fldChar w:fldCharType="separate"/>
            </w:r>
            <w:r w:rsidR="000B1EE8">
              <w:rPr>
                <w:noProof/>
                <w:webHidden/>
              </w:rPr>
              <w:t>4</w:t>
            </w:r>
            <w:r>
              <w:rPr>
                <w:noProof/>
                <w:webHidden/>
              </w:rPr>
              <w:fldChar w:fldCharType="end"/>
            </w:r>
          </w:hyperlink>
        </w:p>
        <w:p w14:paraId="6589A9EB" w14:textId="77970A25" w:rsidR="000833F8" w:rsidRDefault="000833F8">
          <w:r>
            <w:rPr>
              <w:b/>
              <w:bCs/>
            </w:rPr>
            <w:fldChar w:fldCharType="end"/>
          </w:r>
        </w:p>
      </w:sdtContent>
    </w:sdt>
    <w:p w14:paraId="6D489B60" w14:textId="77777777" w:rsidR="00E36F93" w:rsidRDefault="00E36F93" w:rsidP="00E36F93">
      <w:pPr>
        <w:spacing w:after="0"/>
        <w:rPr>
          <w:rFonts w:asciiTheme="minorBidi" w:hAnsiTheme="minorBidi"/>
          <w:szCs w:val="24"/>
        </w:rPr>
      </w:pPr>
    </w:p>
    <w:p w14:paraId="157D929C" w14:textId="77777777" w:rsidR="00E36F93" w:rsidRDefault="00E36F93">
      <w:pPr>
        <w:rPr>
          <w:rFonts w:asciiTheme="minorBidi" w:hAnsiTheme="minorBidi"/>
          <w:szCs w:val="24"/>
        </w:rPr>
      </w:pPr>
      <w:r>
        <w:rPr>
          <w:rFonts w:asciiTheme="minorBidi" w:hAnsiTheme="minorBidi"/>
          <w:szCs w:val="24"/>
        </w:rPr>
        <w:br w:type="page"/>
      </w:r>
    </w:p>
    <w:p w14:paraId="0D6E3155" w14:textId="77777777" w:rsidR="00E36F93" w:rsidRDefault="00E36F93" w:rsidP="00E36F93">
      <w:pPr>
        <w:pStyle w:val="berschrift1"/>
      </w:pPr>
      <w:bookmarkStart w:id="0" w:name="_Toc180672772"/>
      <w:r>
        <w:lastRenderedPageBreak/>
        <w:t>Was sind typische ethische Fragestellungen?</w:t>
      </w:r>
      <w:bookmarkEnd w:id="0"/>
    </w:p>
    <w:p w14:paraId="5767485E" w14:textId="77777777" w:rsidR="00E36F93" w:rsidRDefault="00E36F93" w:rsidP="00E36F93"/>
    <w:p w14:paraId="5F406FC8" w14:textId="4301FEEA" w:rsidR="00B90822" w:rsidRDefault="00B90822" w:rsidP="00543E43">
      <w:r>
        <w:t>Über ethische Fragen macht man sich in der sensorischen Konsumentenforschung</w:t>
      </w:r>
      <w:r>
        <w:t xml:space="preserve"> </w:t>
      </w:r>
      <w:r>
        <w:t>üblicherweise dann Gedanken, wenn man es mit besonderen Produkten (z. B. mit</w:t>
      </w:r>
      <w:r>
        <w:t xml:space="preserve"> </w:t>
      </w:r>
      <w:r>
        <w:t>bestimmten Inhaltsstoffen) oder Zielgruppen (z. B. Kinder) zu tun hat. Insgesamt wird Ethik</w:t>
      </w:r>
      <w:r>
        <w:t xml:space="preserve"> </w:t>
      </w:r>
      <w:r>
        <w:t>eher als Nischenthema wahrgenommen.</w:t>
      </w:r>
      <w:r>
        <w:t xml:space="preserve"> </w:t>
      </w:r>
      <w:r>
        <w:t>Jedoch berührt die sensorische Produktforschung</w:t>
      </w:r>
      <w:r>
        <w:t xml:space="preserve"> </w:t>
      </w:r>
      <w:r w:rsidR="00543E43">
        <w:t>diverse</w:t>
      </w:r>
      <w:r>
        <w:t xml:space="preserve"> ethische Aspekte</w:t>
      </w:r>
      <w:r>
        <w:t>, von denen insbesondere der Umgang mit Versuchspersonen tägliche Relevanz hat.</w:t>
      </w:r>
      <w:r w:rsidR="00543E43">
        <w:t xml:space="preserve"> Der Fokus dieser Information liegt beim Umgang mit Testpersonen. Dieser </w:t>
      </w:r>
      <w:r>
        <w:t xml:space="preserve">berührt </w:t>
      </w:r>
    </w:p>
    <w:p w14:paraId="413593E4" w14:textId="2E785AB2" w:rsidR="00B90822" w:rsidRDefault="00B90822" w:rsidP="00B90822">
      <w:pPr>
        <w:pStyle w:val="Listenabsatz"/>
        <w:numPr>
          <w:ilvl w:val="0"/>
          <w:numId w:val="2"/>
        </w:numPr>
      </w:pPr>
      <w:r>
        <w:t xml:space="preserve">Fragen des Datenschutzes: Verarbeitung persönlicher Daten (z. B. Panels, Testpersonendatenbanken, </w:t>
      </w:r>
      <w:r w:rsidR="000B1EE8">
        <w:t xml:space="preserve">Einverständniserklärungen, </w:t>
      </w:r>
      <w:r>
        <w:t>Analyse sozialer Medien)</w:t>
      </w:r>
    </w:p>
    <w:p w14:paraId="236B938A" w14:textId="537BA5A3" w:rsidR="00B90822" w:rsidRDefault="00B90822" w:rsidP="00B90822">
      <w:pPr>
        <w:pStyle w:val="Listenabsatz"/>
        <w:numPr>
          <w:ilvl w:val="0"/>
          <w:numId w:val="2"/>
        </w:numPr>
      </w:pPr>
      <w:r>
        <w:t xml:space="preserve">die Befragung spezieller Testpersonen: </w:t>
      </w:r>
      <w:r w:rsidR="00C95023">
        <w:t>Kinder, gesundheitlich beeinträchtigte Personen</w:t>
      </w:r>
    </w:p>
    <w:p w14:paraId="73679BF5" w14:textId="7FCFD595" w:rsidR="00C95023" w:rsidRDefault="00C95023" w:rsidP="00B90822">
      <w:pPr>
        <w:pStyle w:val="Listenabsatz"/>
        <w:numPr>
          <w:ilvl w:val="0"/>
          <w:numId w:val="2"/>
        </w:numPr>
      </w:pPr>
      <w:r>
        <w:t>Fragen der Lebensmittelsicherheit, etwa bei Prototypen oder der Testung neuartiger oder ethisch herausfordernder Produkte (z. B. Insekten, pharmakologisch wirkende Inhaltsstoffe, Spirituosen, Tabakwaren)</w:t>
      </w:r>
    </w:p>
    <w:p w14:paraId="18BBFAC9" w14:textId="2581C616" w:rsidR="00C95023" w:rsidRDefault="00C95023" w:rsidP="00C95023">
      <w:r>
        <w:t>Weitere Berührungspunkte mit Ethik-Themen in der Forschung sind</w:t>
      </w:r>
    </w:p>
    <w:p w14:paraId="4FD4787C" w14:textId="6990B4FF" w:rsidR="00C95023" w:rsidRDefault="00C95023" w:rsidP="00C95023">
      <w:pPr>
        <w:pStyle w:val="Listenabsatz"/>
        <w:numPr>
          <w:ilvl w:val="0"/>
          <w:numId w:val="3"/>
        </w:numPr>
      </w:pPr>
      <w:r>
        <w:t>Transparenz und Ehrlichkeit bei Auftragsstudien</w:t>
      </w:r>
    </w:p>
    <w:p w14:paraId="184D52CD" w14:textId="783C3508" w:rsidR="00C95023" w:rsidRDefault="00C95023" w:rsidP="00C95023">
      <w:pPr>
        <w:pStyle w:val="Listenabsatz"/>
        <w:numPr>
          <w:ilvl w:val="0"/>
          <w:numId w:val="3"/>
        </w:numPr>
      </w:pPr>
      <w:r>
        <w:t>Interessenkonflikte bei der Verfolgung eigener oder beauftragter Forschungsfragen</w:t>
      </w:r>
    </w:p>
    <w:p w14:paraId="6CD6AE82" w14:textId="4003B5FD" w:rsidR="00C95023" w:rsidRDefault="00C95023" w:rsidP="00C95023">
      <w:pPr>
        <w:pStyle w:val="Listenabsatz"/>
        <w:numPr>
          <w:ilvl w:val="0"/>
          <w:numId w:val="3"/>
        </w:numPr>
      </w:pPr>
      <w:r w:rsidRPr="00C95023">
        <w:t xml:space="preserve">Animal </w:t>
      </w:r>
      <w:proofErr w:type="spellStart"/>
      <w:r w:rsidRPr="00C95023">
        <w:t>Respect</w:t>
      </w:r>
      <w:proofErr w:type="spellEnd"/>
      <w:r w:rsidRPr="00C95023">
        <w:t xml:space="preserve">, Food </w:t>
      </w:r>
      <w:proofErr w:type="spellStart"/>
      <w:r w:rsidRPr="00C95023">
        <w:t>Safety</w:t>
      </w:r>
      <w:proofErr w:type="spellEnd"/>
      <w:r w:rsidRPr="00C95023">
        <w:t xml:space="preserve"> und Food </w:t>
      </w:r>
      <w:proofErr w:type="spellStart"/>
      <w:r w:rsidRPr="00C95023">
        <w:t>Waste</w:t>
      </w:r>
      <w:proofErr w:type="spellEnd"/>
      <w:r w:rsidRPr="00C95023">
        <w:t xml:space="preserve"> bei der Arbeit mit Lebensmit</w:t>
      </w:r>
      <w:r>
        <w:t>teln (tierischen Ursprungs) und der Entsorgung von Testprodukten</w:t>
      </w:r>
    </w:p>
    <w:p w14:paraId="11445DD9" w14:textId="0DA758CC" w:rsidR="00C95023" w:rsidRDefault="00C95023" w:rsidP="00C95023">
      <w:pPr>
        <w:pStyle w:val="Listenabsatz"/>
        <w:numPr>
          <w:ilvl w:val="0"/>
          <w:numId w:val="3"/>
        </w:numPr>
      </w:pPr>
      <w:r>
        <w:t>Länderspezifische Regularien bei internationalen Studien</w:t>
      </w:r>
    </w:p>
    <w:p w14:paraId="52F3EF79" w14:textId="353F093B" w:rsidR="00C95023" w:rsidRPr="00C95023" w:rsidRDefault="00C95023" w:rsidP="00C95023">
      <w:pPr>
        <w:pStyle w:val="Listenabsatz"/>
        <w:numPr>
          <w:ilvl w:val="0"/>
          <w:numId w:val="3"/>
        </w:numPr>
      </w:pPr>
      <w:r>
        <w:t xml:space="preserve">Publishing </w:t>
      </w:r>
      <w:proofErr w:type="spellStart"/>
      <w:r>
        <w:t>Policies</w:t>
      </w:r>
      <w:proofErr w:type="spellEnd"/>
      <w:r>
        <w:t xml:space="preserve"> bei der Veröffentlichung von Studienergebnissen</w:t>
      </w:r>
    </w:p>
    <w:p w14:paraId="30502AB9" w14:textId="77777777" w:rsidR="00E36F93" w:rsidRDefault="00E36F93" w:rsidP="00E36F93"/>
    <w:p w14:paraId="28C5BC6C" w14:textId="71399267" w:rsidR="007422E1" w:rsidRDefault="007422E1" w:rsidP="007422E1">
      <w:pPr>
        <w:pStyle w:val="berschrift1"/>
      </w:pPr>
      <w:bookmarkStart w:id="1" w:name="_Toc180672773"/>
      <w:r>
        <w:t>Wie läuft eine ethische Begutachtung ab?</w:t>
      </w:r>
      <w:bookmarkEnd w:id="1"/>
    </w:p>
    <w:p w14:paraId="008F0A58" w14:textId="77777777" w:rsidR="007422E1" w:rsidRDefault="007422E1" w:rsidP="007422E1"/>
    <w:p w14:paraId="4D104AC4" w14:textId="15A4ADAE" w:rsidR="007422E1" w:rsidRDefault="000F191C" w:rsidP="007422E1">
      <w:r>
        <w:t>Wenngleich es keine einheitlichen Aussagen gibt, kann man mit gewissen allgemeingültigen Schritten rechnen.</w:t>
      </w:r>
    </w:p>
    <w:p w14:paraId="6013042F" w14:textId="48669450" w:rsidR="000F191C" w:rsidRDefault="000F191C" w:rsidP="007422E1">
      <w:r>
        <w:t>Vorbereitung</w:t>
      </w:r>
    </w:p>
    <w:p w14:paraId="214BF2AA" w14:textId="3D1EA293" w:rsidR="000F191C" w:rsidRDefault="000F191C" w:rsidP="000F191C">
      <w:pPr>
        <w:pStyle w:val="Listenabsatz"/>
        <w:numPr>
          <w:ilvl w:val="0"/>
          <w:numId w:val="4"/>
        </w:numPr>
      </w:pPr>
      <w:r>
        <w:t>Detaillierte Beschreibung des Forschungsvorhabens inkl. Zielsetzung, Methodik und ggf. erwartbarer Ergebnisse verfassen.</w:t>
      </w:r>
    </w:p>
    <w:p w14:paraId="372B737D" w14:textId="3BD4B866" w:rsidR="000F191C" w:rsidRDefault="000F191C" w:rsidP="000F191C">
      <w:pPr>
        <w:pStyle w:val="Listenabsatz"/>
        <w:numPr>
          <w:ilvl w:val="0"/>
          <w:numId w:val="4"/>
        </w:numPr>
      </w:pPr>
      <w:r>
        <w:t>Ethisch relevante Aspekte des Projekts herausarbeiten, z. B. Datenschutz und Umgang mit Testpersonen (Einwilligungserklärung) sowie spezielle Produkteigenschaften.</w:t>
      </w:r>
    </w:p>
    <w:p w14:paraId="6C985428" w14:textId="52D4BB73" w:rsidR="000F191C" w:rsidRDefault="000F191C" w:rsidP="000F191C">
      <w:r>
        <w:t>Kontaktaufnahme und Einreichung</w:t>
      </w:r>
    </w:p>
    <w:p w14:paraId="06D323C2" w14:textId="36CEA7F5" w:rsidR="000F191C" w:rsidRDefault="000F191C" w:rsidP="000F191C">
      <w:pPr>
        <w:pStyle w:val="Listenabsatz"/>
        <w:numPr>
          <w:ilvl w:val="0"/>
          <w:numId w:val="5"/>
        </w:numPr>
      </w:pPr>
      <w:r>
        <w:t>Die für das Projekt zuständige Ethikkommission ermitteln (siehe nächster Abschnitt).</w:t>
      </w:r>
    </w:p>
    <w:p w14:paraId="07715DCB" w14:textId="5458EF14" w:rsidR="000F191C" w:rsidRDefault="000F191C" w:rsidP="000F191C">
      <w:pPr>
        <w:pStyle w:val="Listenabsatz"/>
        <w:numPr>
          <w:ilvl w:val="0"/>
          <w:numId w:val="5"/>
        </w:numPr>
      </w:pPr>
      <w:r>
        <w:lastRenderedPageBreak/>
        <w:t>Antragsunterlagen zusammenstellen, üblicherweise vor Projektbeginn. Typischerweise werden verlangt: ausführliche Projektbeschreibung, ethische Bewertung, Informationen zu Testpersonen und deren Einwilligung, Datenschutzkonzept</w:t>
      </w:r>
    </w:p>
    <w:p w14:paraId="002978A3" w14:textId="1EDE9AD0" w:rsidR="000F191C" w:rsidRDefault="00265601" w:rsidP="000F191C">
      <w:pPr>
        <w:pStyle w:val="Listenabsatz"/>
        <w:numPr>
          <w:ilvl w:val="0"/>
          <w:numId w:val="5"/>
        </w:numPr>
      </w:pPr>
      <w:r>
        <w:t>Antrag unter Beachtung der Fristen und Formalitäten einreichen.</w:t>
      </w:r>
    </w:p>
    <w:p w14:paraId="7A517E9E" w14:textId="6E44A7E1" w:rsidR="00265601" w:rsidRDefault="00265601" w:rsidP="000F191C">
      <w:pPr>
        <w:pStyle w:val="Listenabsatz"/>
        <w:numPr>
          <w:ilvl w:val="0"/>
          <w:numId w:val="5"/>
        </w:numPr>
      </w:pPr>
      <w:r>
        <w:t>Mit einer Stellungnahme kann man im wissenschaftlichen Bereich in der Regel innerhalb von sechs bis acht Wochen bis zu drei Monaten nach Eingang der vollständigen Unterlagen rechnen (vgl. Ethikbeirat der Universität Leipzig, Ethikkommission der Universitäten Münster und Göttingen).</w:t>
      </w:r>
    </w:p>
    <w:p w14:paraId="45D63143" w14:textId="43952FE2" w:rsidR="00265601" w:rsidRDefault="00265601" w:rsidP="00265601">
      <w:r>
        <w:t>Nachbereitung</w:t>
      </w:r>
    </w:p>
    <w:p w14:paraId="2EF1B3AE" w14:textId="51BFD65A" w:rsidR="00265601" w:rsidRDefault="00265601" w:rsidP="00265601">
      <w:pPr>
        <w:pStyle w:val="Listenabsatz"/>
        <w:numPr>
          <w:ilvl w:val="0"/>
          <w:numId w:val="6"/>
        </w:numPr>
      </w:pPr>
      <w:r>
        <w:t>Ethikkommissionen können bei Unklarheiten Rückfragen stellen.</w:t>
      </w:r>
    </w:p>
    <w:p w14:paraId="58F687B7" w14:textId="03786863" w:rsidR="00265601" w:rsidRDefault="00265601" w:rsidP="00265601">
      <w:pPr>
        <w:pStyle w:val="Listenabsatz"/>
        <w:numPr>
          <w:ilvl w:val="0"/>
          <w:numId w:val="6"/>
        </w:numPr>
      </w:pPr>
      <w:r>
        <w:t>Empfehlungen und Auflagen der Ethikkommission sollten ins Forschungsvorhaben eingearbeitet werden.</w:t>
      </w:r>
    </w:p>
    <w:p w14:paraId="4002B684" w14:textId="42A7FFE9" w:rsidR="00265601" w:rsidRPr="007422E1" w:rsidRDefault="00265601" w:rsidP="00265601">
      <w:pPr>
        <w:pStyle w:val="Listenabsatz"/>
        <w:numPr>
          <w:ilvl w:val="0"/>
          <w:numId w:val="6"/>
        </w:numPr>
      </w:pPr>
      <w:r>
        <w:t>Die Stellungnahme der Kommission sollte im Forschungsprojekt dokumentiert werden.</w:t>
      </w:r>
    </w:p>
    <w:p w14:paraId="04E223E4" w14:textId="77777777" w:rsidR="007422E1" w:rsidRPr="00C95023" w:rsidRDefault="007422E1" w:rsidP="00E36F93"/>
    <w:p w14:paraId="0E83B641" w14:textId="77777777" w:rsidR="00F571B0" w:rsidRDefault="00F571B0" w:rsidP="00F571B0">
      <w:pPr>
        <w:pStyle w:val="berschrift1"/>
      </w:pPr>
      <w:bookmarkStart w:id="2" w:name="_Toc180672774"/>
      <w:r>
        <w:t>Wo erhält man Hilfestellung von Dritten?</w:t>
      </w:r>
      <w:bookmarkEnd w:id="2"/>
    </w:p>
    <w:p w14:paraId="6DF3942F" w14:textId="77777777" w:rsidR="00F571B0" w:rsidRDefault="00F571B0" w:rsidP="00F571B0"/>
    <w:p w14:paraId="3488AE3C" w14:textId="77777777" w:rsidR="00F571B0" w:rsidRPr="00F571B0" w:rsidRDefault="00F571B0" w:rsidP="005905C2">
      <w:r>
        <w:t xml:space="preserve">Vorab zur Information: der bekannte und renommierte Deutsche Ethikrat ist keine Anlaufstelle für Unternehmen und Wissenschaftler. Er berät ausschließlich den Deutschen Bundestag und die Bundesregierung </w:t>
      </w:r>
      <w:r w:rsidR="005905C2">
        <w:t>bzw. erarbeitet eigenständig Stellungnahmen oder Empfehlungen zu selbst festgelegten Themen.</w:t>
      </w:r>
    </w:p>
    <w:p w14:paraId="7A9101A5" w14:textId="081D7CD8" w:rsidR="00F571B0" w:rsidRDefault="005905C2" w:rsidP="00AA0EC8">
      <w:pPr>
        <w:pStyle w:val="Listenabsatz"/>
        <w:numPr>
          <w:ilvl w:val="0"/>
          <w:numId w:val="1"/>
        </w:numPr>
      </w:pPr>
      <w:r>
        <w:t xml:space="preserve">Sofern </w:t>
      </w:r>
      <w:r w:rsidRPr="007422E1">
        <w:rPr>
          <w:i/>
          <w:iCs/>
        </w:rPr>
        <w:t>Unternehmen</w:t>
      </w:r>
      <w:r>
        <w:t xml:space="preserve"> über keine</w:t>
      </w:r>
      <w:r w:rsidR="00AA0EC8">
        <w:t>n</w:t>
      </w:r>
      <w:r>
        <w:t xml:space="preserve"> eigene</w:t>
      </w:r>
      <w:r w:rsidR="00AA0EC8">
        <w:t>n</w:t>
      </w:r>
      <w:r>
        <w:t xml:space="preserve"> Ethik</w:t>
      </w:r>
      <w:r w:rsidR="00AA0EC8">
        <w:t>beirat</w:t>
      </w:r>
      <w:r>
        <w:t xml:space="preserve"> verfügen, besteht </w:t>
      </w:r>
      <w:r w:rsidR="00AA0EC8">
        <w:t xml:space="preserve">ggf. </w:t>
      </w:r>
      <w:r>
        <w:t xml:space="preserve">die Möglichkeit, darauf spezialisierte Dienstleister mit einer </w:t>
      </w:r>
      <w:r w:rsidR="004A2BBA">
        <w:t>Stellungnahme</w:t>
      </w:r>
      <w:r>
        <w:t xml:space="preserve"> zu beauftragen</w:t>
      </w:r>
      <w:r w:rsidR="00543E43">
        <w:t xml:space="preserve"> oder bei Universitäten ein Gutachten anzufragen. Eine Übersicht über sozial- und wirtschaftswissenschaftliche Ethikkommissionen bietet</w:t>
      </w:r>
      <w:r w:rsidR="007422E1">
        <w:t xml:space="preserve"> etwa</w:t>
      </w:r>
      <w:r w:rsidR="00543E43">
        <w:t xml:space="preserve"> </w:t>
      </w:r>
      <w:hyperlink r:id="rId9" w:history="1">
        <w:r w:rsidR="00543E43" w:rsidRPr="00EF0175">
          <w:rPr>
            <w:rStyle w:val="Hyperlink"/>
          </w:rPr>
          <w:t>https://www.konsortswd.de/themen/forschungsethik/ethikkommissionen/</w:t>
        </w:r>
      </w:hyperlink>
      <w:r w:rsidR="00543E43">
        <w:t>.</w:t>
      </w:r>
    </w:p>
    <w:p w14:paraId="27F90C95" w14:textId="77777777" w:rsidR="002170CF" w:rsidRDefault="004E4029" w:rsidP="00CF2779">
      <w:pPr>
        <w:pStyle w:val="Listenabsatz"/>
        <w:numPr>
          <w:ilvl w:val="0"/>
          <w:numId w:val="1"/>
        </w:numPr>
      </w:pPr>
      <w:r w:rsidRPr="007422E1">
        <w:rPr>
          <w:i/>
          <w:iCs/>
        </w:rPr>
        <w:t xml:space="preserve">Wissenschaftliche </w:t>
      </w:r>
      <w:r w:rsidRPr="00A325F6">
        <w:t>Verlage</w:t>
      </w:r>
      <w:r>
        <w:t xml:space="preserve"> verlangen üblicherweise ein Ethik-Statement, </w:t>
      </w:r>
      <w:r w:rsidR="00CF2779">
        <w:t>bevor</w:t>
      </w:r>
      <w:r>
        <w:t xml:space="preserve"> Studien publiziert werden, an denen Versuchspersonen teilgenommen haben. Dies ist bei </w:t>
      </w:r>
      <w:proofErr w:type="spellStart"/>
      <w:r>
        <w:t>Sensorikstudien</w:t>
      </w:r>
      <w:proofErr w:type="spellEnd"/>
      <w:r>
        <w:t xml:space="preserve"> üblicherweise der Fall. </w:t>
      </w:r>
      <w:r w:rsidR="004A2BBA">
        <w:t xml:space="preserve">Erste Anlaufstelle im wissenschaftlichen Bereich ist </w:t>
      </w:r>
      <w:r w:rsidR="008B616F">
        <w:t>der Ethikbeirat bzw. die Ethikkommission der</w:t>
      </w:r>
      <w:r w:rsidR="004A2BBA">
        <w:t xml:space="preserve"> eigene</w:t>
      </w:r>
      <w:r w:rsidR="008B616F">
        <w:t>n</w:t>
      </w:r>
      <w:r w:rsidR="004A2BBA">
        <w:t xml:space="preserve"> Hochschule oder Universität. </w:t>
      </w:r>
      <w:r>
        <w:t xml:space="preserve">Sofern diese nicht verfügbar ist, gibt es beispielsweise bei Elsevier </w:t>
      </w:r>
      <w:r w:rsidR="00CF2779">
        <w:t>(</w:t>
      </w:r>
      <w:r>
        <w:t>Verlag</w:t>
      </w:r>
      <w:r w:rsidR="00CF2779">
        <w:t xml:space="preserve"> von</w:t>
      </w:r>
      <w:r>
        <w:t xml:space="preserve"> Food Q</w:t>
      </w:r>
      <w:r w:rsidR="00CF2779">
        <w:t xml:space="preserve">uality and </w:t>
      </w:r>
      <w:r>
        <w:t>Preference</w:t>
      </w:r>
      <w:r w:rsidR="00CF2779">
        <w:t xml:space="preserve">) </w:t>
      </w:r>
      <w:r>
        <w:t>Informationen zum alternativen Vorgehen (</w:t>
      </w:r>
      <w:hyperlink r:id="rId10" w:anchor="toc-6" w:history="1">
        <w:r w:rsidRPr="00A62196">
          <w:rPr>
            <w:rStyle w:val="Hyperlink"/>
          </w:rPr>
          <w:t>https://www.sciencedirect.com/journal/food-quality-and-preference/publish/guide-for-authors#toc-6</w:t>
        </w:r>
      </w:hyperlink>
      <w:r>
        <w:t xml:space="preserve">). </w:t>
      </w:r>
      <w:r w:rsidR="00CF2779">
        <w:t xml:space="preserve">Vergleichbares bei Oxford University Press (Verlag von Chemical </w:t>
      </w:r>
      <w:proofErr w:type="spellStart"/>
      <w:r w:rsidR="00CF2779">
        <w:t>Senses</w:t>
      </w:r>
      <w:proofErr w:type="spellEnd"/>
      <w:r w:rsidR="00CF2779">
        <w:t xml:space="preserve">): </w:t>
      </w:r>
      <w:hyperlink r:id="rId11" w:anchor="About%20the%20journal" w:history="1">
        <w:r w:rsidR="002170CF" w:rsidRPr="00A62196">
          <w:rPr>
            <w:rStyle w:val="Hyperlink"/>
          </w:rPr>
          <w:t>https://academic.oup.com/chemse/pages/instructions_for_authors#About%20the%20journal</w:t>
        </w:r>
      </w:hyperlink>
      <w:r w:rsidR="00CF2779">
        <w:t>.</w:t>
      </w:r>
    </w:p>
    <w:p w14:paraId="18646A80" w14:textId="77777777" w:rsidR="00F571B0" w:rsidRDefault="00F571B0" w:rsidP="005905C2">
      <w:pPr>
        <w:pStyle w:val="Listenabsatz"/>
        <w:numPr>
          <w:ilvl w:val="0"/>
          <w:numId w:val="1"/>
        </w:numPr>
      </w:pPr>
      <w:r>
        <w:t xml:space="preserve">Besonders verbreitet sind ethische Fragestellungen im Bereich der </w:t>
      </w:r>
      <w:r w:rsidRPr="007422E1">
        <w:rPr>
          <w:i/>
          <w:iCs/>
        </w:rPr>
        <w:t>Medizin</w:t>
      </w:r>
      <w:r>
        <w:t xml:space="preserve"> (Arzneimittel, Medizinprodukte), </w:t>
      </w:r>
      <w:r w:rsidR="005905C2">
        <w:t>die</w:t>
      </w:r>
      <w:r>
        <w:t xml:space="preserve"> allerdings eher selten </w:t>
      </w:r>
      <w:r w:rsidR="005905C2">
        <w:t xml:space="preserve">auch </w:t>
      </w:r>
      <w:r>
        <w:t>sensorische F</w:t>
      </w:r>
      <w:r w:rsidR="005905C2">
        <w:t>ragestellungen berühre</w:t>
      </w:r>
      <w:r>
        <w:t>n dürften. Eine Übersicht über zuständige Kommissionen findet man unter:</w:t>
      </w:r>
      <w:r>
        <w:br/>
      </w:r>
      <w:hyperlink r:id="rId12" w:history="1">
        <w:r w:rsidR="004E4029" w:rsidRPr="00A62196">
          <w:rPr>
            <w:rStyle w:val="Hyperlink"/>
          </w:rPr>
          <w:t>https://www.bfarm.de/DE/Arzneimittel/Klinische-Pruefung/Ethik-Kommissionen/_node.html</w:t>
        </w:r>
      </w:hyperlink>
    </w:p>
    <w:p w14:paraId="5F567715" w14:textId="77777777" w:rsidR="004E4029" w:rsidRDefault="004E4029" w:rsidP="004E4029">
      <w:pPr>
        <w:pStyle w:val="Listenabsatz"/>
        <w:ind w:left="360"/>
      </w:pPr>
    </w:p>
    <w:p w14:paraId="4A221848" w14:textId="77777777" w:rsidR="00E36F93" w:rsidRDefault="00E36F93" w:rsidP="000833F8">
      <w:pPr>
        <w:pStyle w:val="berschrift1"/>
      </w:pPr>
      <w:bookmarkStart w:id="3" w:name="_Toc180672775"/>
      <w:r>
        <w:lastRenderedPageBreak/>
        <w:t xml:space="preserve">Wo kann man sich </w:t>
      </w:r>
      <w:r w:rsidR="000833F8">
        <w:t>eigenständig</w:t>
      </w:r>
      <w:r>
        <w:t xml:space="preserve"> informieren?</w:t>
      </w:r>
      <w:bookmarkEnd w:id="3"/>
    </w:p>
    <w:p w14:paraId="190A6331" w14:textId="77777777" w:rsidR="00E36F93" w:rsidRDefault="00E36F93" w:rsidP="00E36F93"/>
    <w:p w14:paraId="2695C658" w14:textId="2E857C60" w:rsidR="00CD4D0C" w:rsidRDefault="00CD4D0C" w:rsidP="00E36F93">
      <w:r>
        <w:t>Richtlinien mit Bezug zu sensorischer Produktforschung:</w:t>
      </w:r>
    </w:p>
    <w:p w14:paraId="3E8C0AE5" w14:textId="6B6DC3EF" w:rsidR="00E36F93" w:rsidRDefault="001B70EF" w:rsidP="001B70EF">
      <w:pPr>
        <w:pStyle w:val="Listenabsatz"/>
        <w:numPr>
          <w:ilvl w:val="0"/>
          <w:numId w:val="7"/>
        </w:numPr>
        <w:rPr>
          <w:lang w:val="x-none"/>
        </w:rPr>
      </w:pPr>
      <w:r>
        <w:t>Richtlinien der Europäischen Kommission für Anwender und Reviewer (</w:t>
      </w:r>
      <w:proofErr w:type="spellStart"/>
      <w:r>
        <w:t>Guidance</w:t>
      </w:r>
      <w:proofErr w:type="spellEnd"/>
      <w:r>
        <w:t xml:space="preserve"> Note – </w:t>
      </w:r>
      <w:proofErr w:type="spellStart"/>
      <w:r>
        <w:t>Ethics</w:t>
      </w:r>
      <w:proofErr w:type="spellEnd"/>
      <w:r>
        <w:t xml:space="preserve"> and Food-</w:t>
      </w:r>
      <w:proofErr w:type="spellStart"/>
      <w:r>
        <w:t>Related</w:t>
      </w:r>
      <w:proofErr w:type="spellEnd"/>
      <w:r>
        <w:t xml:space="preserve"> Research):</w:t>
      </w:r>
      <w:r>
        <w:br/>
      </w:r>
      <w:r w:rsidRPr="001B70EF">
        <w:rPr>
          <w:lang w:val="x-none"/>
        </w:rPr>
        <w:t>ec.europa.eu/research/participants/data/ref/fp7/89847/research-food_en.pdf</w:t>
      </w:r>
    </w:p>
    <w:p w14:paraId="397F8067" w14:textId="100438FB" w:rsidR="001B70EF" w:rsidRDefault="001B70EF" w:rsidP="001B70EF">
      <w:pPr>
        <w:pStyle w:val="Listenabsatz"/>
        <w:numPr>
          <w:ilvl w:val="0"/>
          <w:numId w:val="7"/>
        </w:numPr>
        <w:rPr>
          <w:lang w:val="x-none"/>
        </w:rPr>
      </w:pPr>
      <w:r>
        <w:rPr>
          <w:lang w:val="x-none"/>
        </w:rPr>
        <w:t xml:space="preserve">Richtlinien des britischen Institute </w:t>
      </w:r>
      <w:proofErr w:type="spellStart"/>
      <w:r>
        <w:rPr>
          <w:lang w:val="x-none"/>
        </w:rPr>
        <w:t>of</w:t>
      </w:r>
      <w:proofErr w:type="spellEnd"/>
      <w:r>
        <w:rPr>
          <w:lang w:val="x-none"/>
        </w:rPr>
        <w:t xml:space="preserve"> Food Science and Technology (</w:t>
      </w:r>
      <w:r w:rsidRPr="001B70EF">
        <w:rPr>
          <w:lang w:val="x-none"/>
        </w:rPr>
        <w:t xml:space="preserve">IFST Guidelines </w:t>
      </w:r>
      <w:proofErr w:type="spellStart"/>
      <w:r w:rsidRPr="001B70EF">
        <w:rPr>
          <w:lang w:val="x-none"/>
        </w:rPr>
        <w:t>for</w:t>
      </w:r>
      <w:proofErr w:type="spellEnd"/>
      <w:r w:rsidRPr="001B70EF">
        <w:rPr>
          <w:lang w:val="x-none"/>
        </w:rPr>
        <w:t xml:space="preserve"> </w:t>
      </w:r>
      <w:proofErr w:type="spellStart"/>
      <w:r w:rsidRPr="001B70EF">
        <w:rPr>
          <w:lang w:val="x-none"/>
        </w:rPr>
        <w:t>Ethical</w:t>
      </w:r>
      <w:proofErr w:type="spellEnd"/>
      <w:r w:rsidRPr="001B70EF">
        <w:rPr>
          <w:lang w:val="x-none"/>
        </w:rPr>
        <w:t xml:space="preserve"> and Professional Practices </w:t>
      </w:r>
      <w:proofErr w:type="spellStart"/>
      <w:r w:rsidRPr="001B70EF">
        <w:rPr>
          <w:lang w:val="x-none"/>
        </w:rPr>
        <w:t>for</w:t>
      </w:r>
      <w:proofErr w:type="spellEnd"/>
      <w:r w:rsidRPr="001B70EF">
        <w:rPr>
          <w:lang w:val="x-none"/>
        </w:rPr>
        <w:t xml:space="preserve"> </w:t>
      </w:r>
      <w:proofErr w:type="spellStart"/>
      <w:r w:rsidRPr="001B70EF">
        <w:rPr>
          <w:lang w:val="x-none"/>
        </w:rPr>
        <w:t>the</w:t>
      </w:r>
      <w:proofErr w:type="spellEnd"/>
      <w:r w:rsidRPr="001B70EF">
        <w:rPr>
          <w:lang w:val="x-none"/>
        </w:rPr>
        <w:t xml:space="preserve"> </w:t>
      </w:r>
      <w:proofErr w:type="spellStart"/>
      <w:r w:rsidRPr="001B70EF">
        <w:rPr>
          <w:lang w:val="x-none"/>
        </w:rPr>
        <w:t>Sensory</w:t>
      </w:r>
      <w:proofErr w:type="spellEnd"/>
      <w:r w:rsidRPr="001B70EF">
        <w:rPr>
          <w:lang w:val="x-none"/>
        </w:rPr>
        <w:t xml:space="preserve"> Analysis </w:t>
      </w:r>
      <w:proofErr w:type="spellStart"/>
      <w:r w:rsidRPr="001B70EF">
        <w:rPr>
          <w:lang w:val="x-none"/>
        </w:rPr>
        <w:t>of</w:t>
      </w:r>
      <w:proofErr w:type="spellEnd"/>
      <w:r w:rsidRPr="001B70EF">
        <w:rPr>
          <w:lang w:val="x-none"/>
        </w:rPr>
        <w:t xml:space="preserve"> Foods</w:t>
      </w:r>
      <w:r>
        <w:rPr>
          <w:lang w:val="x-none"/>
        </w:rPr>
        <w:t>):</w:t>
      </w:r>
      <w:r>
        <w:rPr>
          <w:lang w:val="x-none"/>
        </w:rPr>
        <w:br/>
      </w:r>
      <w:hyperlink r:id="rId13" w:history="1">
        <w:r w:rsidRPr="00783A84">
          <w:rPr>
            <w:rStyle w:val="Hyperlink"/>
            <w:lang w:val="x-none"/>
          </w:rPr>
          <w:t>https://www.ifst.org/membership/networks-and-communities/special-interest-groups/sensory-science-group/ifst-guidelines</w:t>
        </w:r>
      </w:hyperlink>
    </w:p>
    <w:p w14:paraId="50D4CA1C" w14:textId="17D9C2CA" w:rsidR="001B70EF" w:rsidRDefault="001B70EF" w:rsidP="001B70EF">
      <w:pPr>
        <w:pStyle w:val="Listenabsatz"/>
        <w:numPr>
          <w:ilvl w:val="0"/>
          <w:numId w:val="7"/>
        </w:numPr>
        <w:rPr>
          <w:lang w:val="x-none"/>
        </w:rPr>
      </w:pPr>
      <w:r>
        <w:rPr>
          <w:lang w:val="x-none"/>
        </w:rPr>
        <w:t xml:space="preserve">Code </w:t>
      </w:r>
      <w:proofErr w:type="spellStart"/>
      <w:r>
        <w:rPr>
          <w:lang w:val="x-none"/>
        </w:rPr>
        <w:t>of</w:t>
      </w:r>
      <w:proofErr w:type="spellEnd"/>
      <w:r>
        <w:rPr>
          <w:lang w:val="x-none"/>
        </w:rPr>
        <w:t xml:space="preserve"> Conduct des Institute </w:t>
      </w:r>
      <w:proofErr w:type="spellStart"/>
      <w:r>
        <w:rPr>
          <w:lang w:val="x-none"/>
        </w:rPr>
        <w:t>of</w:t>
      </w:r>
      <w:proofErr w:type="spellEnd"/>
      <w:r>
        <w:rPr>
          <w:lang w:val="x-none"/>
        </w:rPr>
        <w:t xml:space="preserve"> Food </w:t>
      </w:r>
      <w:proofErr w:type="spellStart"/>
      <w:r>
        <w:rPr>
          <w:lang w:val="x-none"/>
        </w:rPr>
        <w:t>Technologists</w:t>
      </w:r>
      <w:proofErr w:type="spellEnd"/>
      <w:r>
        <w:rPr>
          <w:lang w:val="x-none"/>
        </w:rPr>
        <w:t xml:space="preserve"> in Chicago (</w:t>
      </w:r>
      <w:r w:rsidRPr="001B70EF">
        <w:rPr>
          <w:lang w:val="x-none"/>
        </w:rPr>
        <w:t xml:space="preserve">IFT Member Code </w:t>
      </w:r>
      <w:proofErr w:type="spellStart"/>
      <w:r w:rsidRPr="001B70EF">
        <w:rPr>
          <w:lang w:val="x-none"/>
        </w:rPr>
        <w:t>of</w:t>
      </w:r>
      <w:proofErr w:type="spellEnd"/>
      <w:r w:rsidRPr="001B70EF">
        <w:rPr>
          <w:lang w:val="x-none"/>
        </w:rPr>
        <w:t xml:space="preserve"> Professional Conduct</w:t>
      </w:r>
      <w:r>
        <w:rPr>
          <w:lang w:val="x-none"/>
        </w:rPr>
        <w:t>):</w:t>
      </w:r>
      <w:r>
        <w:rPr>
          <w:lang w:val="x-none"/>
        </w:rPr>
        <w:br/>
      </w:r>
      <w:hyperlink r:id="rId14" w:history="1">
        <w:r w:rsidRPr="00783A84">
          <w:rPr>
            <w:rStyle w:val="Hyperlink"/>
            <w:lang w:val="x-none"/>
          </w:rPr>
          <w:t>www.ift.org/about-ift/code-of-conduct</w:t>
        </w:r>
      </w:hyperlink>
    </w:p>
    <w:p w14:paraId="58090F1B" w14:textId="0F3D8B1E" w:rsidR="001B70EF" w:rsidRDefault="00CD4D0C" w:rsidP="00CD4D0C">
      <w:pPr>
        <w:rPr>
          <w:lang w:val="x-none"/>
        </w:rPr>
      </w:pPr>
      <w:r>
        <w:rPr>
          <w:lang w:val="x-none"/>
        </w:rPr>
        <w:t>Richtlinien mit Bezug zu Konsumentenforschung:</w:t>
      </w:r>
    </w:p>
    <w:p w14:paraId="15291341" w14:textId="00356CFD" w:rsidR="00CD4D0C" w:rsidRDefault="00CD4D0C" w:rsidP="002D6CBE">
      <w:pPr>
        <w:pStyle w:val="Listenabsatz"/>
        <w:numPr>
          <w:ilvl w:val="0"/>
          <w:numId w:val="8"/>
        </w:numPr>
        <w:rPr>
          <w:lang w:val="x-none"/>
        </w:rPr>
      </w:pPr>
      <w:r w:rsidRPr="00CD4D0C">
        <w:rPr>
          <w:lang w:val="x-none"/>
        </w:rPr>
        <w:t xml:space="preserve">Berufsverband Deutscher Markt- und Sozialforscher BVM </w:t>
      </w:r>
      <w:r>
        <w:rPr>
          <w:lang w:val="x-none"/>
        </w:rPr>
        <w:t>(Standesregeln):</w:t>
      </w:r>
      <w:r>
        <w:rPr>
          <w:lang w:val="x-none"/>
        </w:rPr>
        <w:br/>
      </w:r>
      <w:hyperlink r:id="rId15" w:history="1">
        <w:r w:rsidRPr="00783A84">
          <w:rPr>
            <w:rStyle w:val="Hyperlink"/>
            <w:lang w:val="x-none"/>
          </w:rPr>
          <w:t>https://www.bvm.org/unsere-regeln/standesregeln/</w:t>
        </w:r>
      </w:hyperlink>
    </w:p>
    <w:p w14:paraId="3E2FF699" w14:textId="36271A4F" w:rsidR="00CD4D0C" w:rsidRPr="00CD4D0C" w:rsidRDefault="00CD4D0C" w:rsidP="002D6CBE">
      <w:pPr>
        <w:pStyle w:val="Listenabsatz"/>
        <w:numPr>
          <w:ilvl w:val="0"/>
          <w:numId w:val="8"/>
        </w:numPr>
        <w:rPr>
          <w:lang w:val="x-none"/>
        </w:rPr>
      </w:pPr>
      <w:r w:rsidRPr="00CD4D0C">
        <w:rPr>
          <w:lang w:val="x-none"/>
        </w:rPr>
        <w:t xml:space="preserve">European Society </w:t>
      </w:r>
      <w:proofErr w:type="spellStart"/>
      <w:r w:rsidRPr="00CD4D0C">
        <w:rPr>
          <w:lang w:val="x-none"/>
        </w:rPr>
        <w:t>for</w:t>
      </w:r>
      <w:proofErr w:type="spellEnd"/>
      <w:r>
        <w:rPr>
          <w:lang w:val="x-none"/>
        </w:rPr>
        <w:t xml:space="preserve"> </w:t>
      </w:r>
      <w:r w:rsidRPr="00CD4D0C">
        <w:rPr>
          <w:lang w:val="x-none"/>
        </w:rPr>
        <w:t>Opinion and Market Research ESOMAR</w:t>
      </w:r>
      <w:r>
        <w:rPr>
          <w:lang w:val="x-none"/>
        </w:rPr>
        <w:t xml:space="preserve"> (</w:t>
      </w:r>
      <w:r w:rsidRPr="00CD4D0C">
        <w:rPr>
          <w:lang w:val="x-none"/>
        </w:rPr>
        <w:t xml:space="preserve">The ICC/ESOMAR International Code on Market, Opinion and </w:t>
      </w:r>
      <w:proofErr w:type="spellStart"/>
      <w:r w:rsidRPr="00CD4D0C">
        <w:rPr>
          <w:lang w:val="x-none"/>
        </w:rPr>
        <w:t>Social</w:t>
      </w:r>
      <w:proofErr w:type="spellEnd"/>
      <w:r w:rsidRPr="00CD4D0C">
        <w:rPr>
          <w:lang w:val="x-none"/>
        </w:rPr>
        <w:t xml:space="preserve"> Research and Data Analytics</w:t>
      </w:r>
      <w:r>
        <w:rPr>
          <w:lang w:val="x-none"/>
        </w:rPr>
        <w:t>)</w:t>
      </w:r>
      <w:r w:rsidRPr="00CD4D0C">
        <w:rPr>
          <w:lang w:val="x-none"/>
        </w:rPr>
        <w:t>:</w:t>
      </w:r>
      <w:r w:rsidRPr="00CD4D0C">
        <w:rPr>
          <w:lang w:val="x-none"/>
        </w:rPr>
        <w:br/>
      </w:r>
      <w:hyperlink r:id="rId16" w:history="1">
        <w:r w:rsidRPr="00CD4D0C">
          <w:rPr>
            <w:rStyle w:val="Hyperlink"/>
            <w:lang w:val="x-none"/>
          </w:rPr>
          <w:t>www.esomar.org/what-we-do/code-guidelines</w:t>
        </w:r>
      </w:hyperlink>
    </w:p>
    <w:p w14:paraId="03C51FE0" w14:textId="77777777" w:rsidR="00CD4D0C" w:rsidRPr="00CD4D0C" w:rsidRDefault="00CD4D0C" w:rsidP="00CD4D0C">
      <w:pPr>
        <w:rPr>
          <w:lang w:val="x-none"/>
        </w:rPr>
      </w:pPr>
    </w:p>
    <w:p w14:paraId="1D8AC098" w14:textId="77777777" w:rsidR="00E36F93" w:rsidRPr="00CD4D0C" w:rsidRDefault="00E36F93" w:rsidP="00E36F93">
      <w:pPr>
        <w:rPr>
          <w:lang w:val="en-US"/>
        </w:rPr>
      </w:pPr>
    </w:p>
    <w:p w14:paraId="6F0B530B" w14:textId="77777777" w:rsidR="00E36F93" w:rsidRPr="00CD4D0C" w:rsidRDefault="00E36F93" w:rsidP="00E36F93">
      <w:pPr>
        <w:rPr>
          <w:lang w:val="en-US"/>
        </w:rPr>
      </w:pPr>
    </w:p>
    <w:sectPr w:rsidR="00E36F93" w:rsidRPr="00CD4D0C" w:rsidSect="000833F8">
      <w:footerReference w:type="default" r:id="rId17"/>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9808C" w14:textId="77777777" w:rsidR="00AE14B3" w:rsidRDefault="00AE14B3" w:rsidP="00E36F93">
      <w:pPr>
        <w:spacing w:after="0" w:line="240" w:lineRule="auto"/>
      </w:pPr>
      <w:r>
        <w:separator/>
      </w:r>
    </w:p>
  </w:endnote>
  <w:endnote w:type="continuationSeparator" w:id="0">
    <w:p w14:paraId="685E14FC" w14:textId="77777777" w:rsidR="00AE14B3" w:rsidRDefault="00AE14B3" w:rsidP="00E3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432778"/>
      <w:docPartObj>
        <w:docPartGallery w:val="Page Numbers (Bottom of Page)"/>
        <w:docPartUnique/>
      </w:docPartObj>
    </w:sdtPr>
    <w:sdtContent>
      <w:p w14:paraId="3A807772" w14:textId="77777777" w:rsidR="000833F8" w:rsidRDefault="000833F8">
        <w:pPr>
          <w:pStyle w:val="Fuzeile"/>
          <w:jc w:val="center"/>
        </w:pPr>
        <w:r>
          <w:fldChar w:fldCharType="begin"/>
        </w:r>
        <w:r>
          <w:instrText>PAGE   \* MERGEFORMAT</w:instrText>
        </w:r>
        <w:r>
          <w:fldChar w:fldCharType="separate"/>
        </w:r>
        <w:r w:rsidR="00AA0EC8">
          <w:rPr>
            <w:noProof/>
          </w:rPr>
          <w:t>2</w:t>
        </w:r>
        <w:r>
          <w:fldChar w:fldCharType="end"/>
        </w:r>
      </w:p>
    </w:sdtContent>
  </w:sdt>
  <w:p w14:paraId="6D732DD9" w14:textId="77777777" w:rsidR="000833F8" w:rsidRDefault="000833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CC8CE" w14:textId="77777777" w:rsidR="00AE14B3" w:rsidRDefault="00AE14B3" w:rsidP="00E36F93">
      <w:pPr>
        <w:spacing w:after="0" w:line="240" w:lineRule="auto"/>
      </w:pPr>
      <w:r>
        <w:separator/>
      </w:r>
    </w:p>
  </w:footnote>
  <w:footnote w:type="continuationSeparator" w:id="0">
    <w:p w14:paraId="5C06E402" w14:textId="77777777" w:rsidR="00AE14B3" w:rsidRDefault="00AE14B3" w:rsidP="00E36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44E1C"/>
    <w:multiLevelType w:val="hybridMultilevel"/>
    <w:tmpl w:val="9DE87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CF76F8"/>
    <w:multiLevelType w:val="hybridMultilevel"/>
    <w:tmpl w:val="B0A6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0D4FE4"/>
    <w:multiLevelType w:val="hybridMultilevel"/>
    <w:tmpl w:val="3DDC8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630167"/>
    <w:multiLevelType w:val="hybridMultilevel"/>
    <w:tmpl w:val="F1725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5E7B31"/>
    <w:multiLevelType w:val="hybridMultilevel"/>
    <w:tmpl w:val="94D074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C267E7"/>
    <w:multiLevelType w:val="hybridMultilevel"/>
    <w:tmpl w:val="9724E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BA3CFE"/>
    <w:multiLevelType w:val="hybridMultilevel"/>
    <w:tmpl w:val="58ECB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21729E"/>
    <w:multiLevelType w:val="hybridMultilevel"/>
    <w:tmpl w:val="F3687E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42721640">
    <w:abstractNumId w:val="7"/>
  </w:num>
  <w:num w:numId="2" w16cid:durableId="1533567553">
    <w:abstractNumId w:val="1"/>
  </w:num>
  <w:num w:numId="3" w16cid:durableId="2075929968">
    <w:abstractNumId w:val="5"/>
  </w:num>
  <w:num w:numId="4" w16cid:durableId="727413821">
    <w:abstractNumId w:val="2"/>
  </w:num>
  <w:num w:numId="5" w16cid:durableId="213928759">
    <w:abstractNumId w:val="3"/>
  </w:num>
  <w:num w:numId="6" w16cid:durableId="1566524637">
    <w:abstractNumId w:val="0"/>
  </w:num>
  <w:num w:numId="7" w16cid:durableId="358242642">
    <w:abstractNumId w:val="6"/>
  </w:num>
  <w:num w:numId="8" w16cid:durableId="758604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62"/>
    <w:rsid w:val="000833F8"/>
    <w:rsid w:val="000B1EE8"/>
    <w:rsid w:val="000F191C"/>
    <w:rsid w:val="00144C1D"/>
    <w:rsid w:val="001B70EF"/>
    <w:rsid w:val="002170CF"/>
    <w:rsid w:val="00265601"/>
    <w:rsid w:val="00481E7A"/>
    <w:rsid w:val="004A2BBA"/>
    <w:rsid w:val="004E4029"/>
    <w:rsid w:val="00543E43"/>
    <w:rsid w:val="005905C2"/>
    <w:rsid w:val="007422E1"/>
    <w:rsid w:val="0075187B"/>
    <w:rsid w:val="008B616F"/>
    <w:rsid w:val="009C20FA"/>
    <w:rsid w:val="00A325F6"/>
    <w:rsid w:val="00AA0EC8"/>
    <w:rsid w:val="00AE14B3"/>
    <w:rsid w:val="00B90822"/>
    <w:rsid w:val="00C95023"/>
    <w:rsid w:val="00CD4D0C"/>
    <w:rsid w:val="00CF2779"/>
    <w:rsid w:val="00E36F93"/>
    <w:rsid w:val="00E5758B"/>
    <w:rsid w:val="00F23A62"/>
    <w:rsid w:val="00F51567"/>
    <w:rsid w:val="00F571B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0A20"/>
  <w15:chartTrackingRefBased/>
  <w15:docId w15:val="{95C26501-66D9-4852-9030-A79471E5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6F93"/>
    <w:rPr>
      <w:rFonts w:ascii="Arial" w:hAnsi="Arial"/>
      <w:sz w:val="24"/>
    </w:rPr>
  </w:style>
  <w:style w:type="paragraph" w:styleId="berschrift1">
    <w:name w:val="heading 1"/>
    <w:basedOn w:val="Standard"/>
    <w:next w:val="Standard"/>
    <w:link w:val="berschrift1Zchn"/>
    <w:uiPriority w:val="9"/>
    <w:qFormat/>
    <w:rsid w:val="005905C2"/>
    <w:pPr>
      <w:keepNext/>
      <w:keepLines/>
      <w:spacing w:before="240" w:after="0"/>
      <w:outlineLvl w:val="0"/>
    </w:pPr>
    <w:rPr>
      <w:rFonts w:eastAsiaTheme="majorEastAsia" w:cstheme="majorBidi"/>
      <w:color w:val="C00000"/>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6F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6F93"/>
  </w:style>
  <w:style w:type="paragraph" w:styleId="Fuzeile">
    <w:name w:val="footer"/>
    <w:basedOn w:val="Standard"/>
    <w:link w:val="FuzeileZchn"/>
    <w:uiPriority w:val="99"/>
    <w:unhideWhenUsed/>
    <w:rsid w:val="00E36F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6F93"/>
  </w:style>
  <w:style w:type="character" w:customStyle="1" w:styleId="berschrift1Zchn">
    <w:name w:val="Überschrift 1 Zchn"/>
    <w:basedOn w:val="Absatz-Standardschriftart"/>
    <w:link w:val="berschrift1"/>
    <w:uiPriority w:val="9"/>
    <w:rsid w:val="005905C2"/>
    <w:rPr>
      <w:rFonts w:ascii="Arial" w:eastAsiaTheme="majorEastAsia" w:hAnsi="Arial" w:cstheme="majorBidi"/>
      <w:color w:val="C00000"/>
      <w:sz w:val="32"/>
      <w:szCs w:val="32"/>
    </w:rPr>
  </w:style>
  <w:style w:type="paragraph" w:styleId="Inhaltsverzeichnisberschrift">
    <w:name w:val="TOC Heading"/>
    <w:basedOn w:val="berschrift1"/>
    <w:next w:val="Standard"/>
    <w:uiPriority w:val="39"/>
    <w:unhideWhenUsed/>
    <w:qFormat/>
    <w:rsid w:val="000833F8"/>
    <w:pPr>
      <w:outlineLvl w:val="9"/>
    </w:pPr>
    <w:rPr>
      <w:rFonts w:asciiTheme="majorHAnsi" w:hAnsiTheme="majorHAnsi"/>
      <w:lang w:eastAsia="de-DE"/>
    </w:rPr>
  </w:style>
  <w:style w:type="paragraph" w:styleId="Verzeichnis1">
    <w:name w:val="toc 1"/>
    <w:basedOn w:val="Standard"/>
    <w:next w:val="Standard"/>
    <w:autoRedefine/>
    <w:uiPriority w:val="39"/>
    <w:unhideWhenUsed/>
    <w:rsid w:val="000833F8"/>
    <w:pPr>
      <w:spacing w:after="100"/>
    </w:pPr>
  </w:style>
  <w:style w:type="character" w:styleId="Hyperlink">
    <w:name w:val="Hyperlink"/>
    <w:basedOn w:val="Absatz-Standardschriftart"/>
    <w:uiPriority w:val="99"/>
    <w:unhideWhenUsed/>
    <w:rsid w:val="000833F8"/>
    <w:rPr>
      <w:color w:val="0563C1" w:themeColor="hyperlink"/>
      <w:u w:val="single"/>
    </w:rPr>
  </w:style>
  <w:style w:type="paragraph" w:styleId="Listenabsatz">
    <w:name w:val="List Paragraph"/>
    <w:basedOn w:val="Standard"/>
    <w:uiPriority w:val="34"/>
    <w:qFormat/>
    <w:rsid w:val="00F571B0"/>
    <w:pPr>
      <w:ind w:left="720"/>
      <w:contextualSpacing/>
    </w:pPr>
  </w:style>
  <w:style w:type="character" w:styleId="NichtaufgelsteErwhnung">
    <w:name w:val="Unresolved Mention"/>
    <w:basedOn w:val="Absatz-Standardschriftart"/>
    <w:uiPriority w:val="99"/>
    <w:semiHidden/>
    <w:unhideWhenUsed/>
    <w:rsid w:val="0054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455685">
      <w:bodyDiv w:val="1"/>
      <w:marLeft w:val="0"/>
      <w:marRight w:val="0"/>
      <w:marTop w:val="0"/>
      <w:marBottom w:val="0"/>
      <w:divBdr>
        <w:top w:val="none" w:sz="0" w:space="0" w:color="auto"/>
        <w:left w:val="none" w:sz="0" w:space="0" w:color="auto"/>
        <w:bottom w:val="none" w:sz="0" w:space="0" w:color="auto"/>
        <w:right w:val="none" w:sz="0" w:space="0" w:color="auto"/>
      </w:divBdr>
    </w:div>
    <w:div w:id="12178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fst.org/membership/networks-and-communities/special-interest-groups/sensory-science-group/ifst-guidel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farm.de/DE/Arzneimittel/Klinische-Pruefung/Ethik-Kommissionen/_nod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omar.org/what-we-do/code-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chemse/pages/instructions_for_authors" TargetMode="External"/><Relationship Id="rId5" Type="http://schemas.openxmlformats.org/officeDocument/2006/relationships/webSettings" Target="webSettings.xml"/><Relationship Id="rId15" Type="http://schemas.openxmlformats.org/officeDocument/2006/relationships/hyperlink" Target="https://www.bvm.org/unsere-regeln/standesregeln/" TargetMode="External"/><Relationship Id="rId10" Type="http://schemas.openxmlformats.org/officeDocument/2006/relationships/hyperlink" Target="https://www.sciencedirect.com/journal/food-quality-and-preference/publish/guide-for-autho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onsortswd.de/themen/forschungsethik/ethikkommissionen/" TargetMode="External"/><Relationship Id="rId14" Type="http://schemas.openxmlformats.org/officeDocument/2006/relationships/hyperlink" Target="http://www.ift.org/about-ift/code-of-conduc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2F47-18B0-46D5-9727-4C6F8970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6171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cp:lastModifiedBy>
  <cp:revision>9</cp:revision>
  <dcterms:created xsi:type="dcterms:W3CDTF">2024-10-22T07:29:00Z</dcterms:created>
  <dcterms:modified xsi:type="dcterms:W3CDTF">2024-10-24T12:54:00Z</dcterms:modified>
</cp:coreProperties>
</file>